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1C" w:rsidRDefault="00D12160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340A9D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2" DrawAspect="Content" ObjectID="_1665649115" r:id="rId7"/>
        </w:object>
      </w:r>
      <w:r w:rsidR="003933F5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F84E1C" w:rsidRDefault="003933F5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F84E1C" w:rsidRDefault="003933F5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Giudice dott.ssa Maria Gavina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Monni</w:t>
      </w:r>
      <w:proofErr w:type="spellEnd"/>
    </w:p>
    <w:p w:rsidR="00F84E1C" w:rsidRDefault="003933F5">
      <w:pPr>
        <w:jc w:val="both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>
        <w:rPr>
          <w:rFonts w:ascii="Times New Roman" w:eastAsia="Times New Roman" w:hAnsi="Times New Roman"/>
          <w:b/>
          <w:sz w:val="28"/>
          <w:szCs w:val="30"/>
          <w:lang w:eastAsia="it-IT"/>
        </w:rPr>
        <w:t>Procedimenti fissati all’udienza del 02.11.2020, che saranno trattati secondo gli orari per ciascuno indicati</w:t>
      </w:r>
    </w:p>
    <w:tbl>
      <w:tblPr>
        <w:tblW w:w="49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1418"/>
        <w:gridCol w:w="2977"/>
      </w:tblGrid>
      <w:tr w:rsidR="00162A78" w:rsidTr="00162A78">
        <w:trPr>
          <w:trHeight w:val="463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REG.GEN.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 DI UDIENZA</w:t>
            </w:r>
          </w:p>
        </w:tc>
      </w:tr>
      <w:tr w:rsidR="00162A78" w:rsidTr="00162A78">
        <w:trPr>
          <w:trHeight w:val="40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478/16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9.00 </w:t>
            </w:r>
          </w:p>
        </w:tc>
      </w:tr>
      <w:tr w:rsidR="00162A78" w:rsidTr="00162A78">
        <w:trPr>
          <w:trHeight w:val="24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656/17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9.10 </w:t>
            </w:r>
          </w:p>
        </w:tc>
      </w:tr>
      <w:tr w:rsidR="00162A78" w:rsidTr="00162A78">
        <w:trPr>
          <w:trHeight w:val="22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1004/15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9.15 </w:t>
            </w:r>
          </w:p>
        </w:tc>
      </w:tr>
      <w:tr w:rsidR="00162A78" w:rsidTr="00162A78">
        <w:trPr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822/16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9.20 </w:t>
            </w:r>
          </w:p>
        </w:tc>
      </w:tr>
      <w:tr w:rsidR="00162A78" w:rsidTr="00162A78">
        <w:trPr>
          <w:trHeight w:val="2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27/10 mod.32 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9.25 </w:t>
            </w:r>
          </w:p>
        </w:tc>
      </w:tr>
      <w:tr w:rsidR="00162A78" w:rsidTr="00162A78"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9.30 </w:t>
            </w:r>
          </w:p>
        </w:tc>
      </w:tr>
      <w:tr w:rsidR="00162A78" w:rsidTr="00162A78"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939/14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9.40 </w:t>
            </w:r>
          </w:p>
        </w:tc>
      </w:tr>
      <w:tr w:rsidR="00162A78" w:rsidTr="00162A78">
        <w:trPr>
          <w:trHeight w:val="4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522/14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10.00</w:t>
            </w:r>
          </w:p>
        </w:tc>
      </w:tr>
      <w:tr w:rsidR="00162A78" w:rsidTr="00162A78"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753/17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10.30</w:t>
            </w:r>
          </w:p>
        </w:tc>
      </w:tr>
      <w:tr w:rsidR="00162A78" w:rsidTr="00162A78"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483/16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10.45</w:t>
            </w:r>
          </w:p>
        </w:tc>
      </w:tr>
      <w:tr w:rsidR="00162A78" w:rsidTr="00162A78"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9/16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11.00</w:t>
            </w:r>
          </w:p>
        </w:tc>
      </w:tr>
      <w:tr w:rsidR="00162A78" w:rsidTr="00162A78"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867/20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11.30</w:t>
            </w:r>
          </w:p>
        </w:tc>
      </w:tr>
      <w:tr w:rsidR="00162A78" w:rsidTr="00162A78"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12.00</w:t>
            </w:r>
          </w:p>
        </w:tc>
      </w:tr>
      <w:tr w:rsidR="00162A78" w:rsidTr="00162A78"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A78" w:rsidRDefault="00162A7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78" w:rsidRDefault="00162A78">
            <w:pPr>
              <w:spacing w:after="0"/>
              <w:jc w:val="both"/>
            </w:pPr>
          </w:p>
        </w:tc>
      </w:tr>
    </w:tbl>
    <w:p w:rsidR="00F84E1C" w:rsidRDefault="003933F5">
      <w:pPr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br/>
        <w:t>Si trasmetta al Pubblico Ministero, al Consiglio dell’Ordine degli Avvocati di Tempio Pausania e alla Camera Penale della Gallura.</w:t>
      </w:r>
    </w:p>
    <w:p w:rsidR="00F84E1C" w:rsidRDefault="003933F5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28.10.2020</w:t>
      </w:r>
      <w:bookmarkStart w:id="0" w:name="_GoBack"/>
      <w:bookmarkEnd w:id="0"/>
    </w:p>
    <w:p w:rsidR="00F84E1C" w:rsidRDefault="003933F5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F84E1C" w:rsidRDefault="003933F5">
      <w:pPr>
        <w:spacing w:after="0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Monni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</w:t>
      </w:r>
    </w:p>
    <w:sectPr w:rsidR="00F84E1C">
      <w:footerReference w:type="default" r:id="rId8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60" w:rsidRDefault="00D12160">
      <w:pPr>
        <w:spacing w:after="0"/>
      </w:pPr>
      <w:r>
        <w:separator/>
      </w:r>
    </w:p>
  </w:endnote>
  <w:endnote w:type="continuationSeparator" w:id="0">
    <w:p w:rsidR="00D12160" w:rsidRDefault="00D12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91" w:rsidRDefault="00D1216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60" w:rsidRDefault="00D1216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12160" w:rsidRDefault="00D121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1C"/>
    <w:rsid w:val="00162A78"/>
    <w:rsid w:val="003933F5"/>
    <w:rsid w:val="005A202F"/>
    <w:rsid w:val="00D12160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225949-06E7-4B64-8E01-DDDAE860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Bonante</dc:creator>
  <dc:description/>
  <cp:lastModifiedBy>Antonella Bulciolu</cp:lastModifiedBy>
  <cp:revision>3</cp:revision>
  <cp:lastPrinted>2020-10-28T13:46:00Z</cp:lastPrinted>
  <dcterms:created xsi:type="dcterms:W3CDTF">2020-10-31T10:19:00Z</dcterms:created>
  <dcterms:modified xsi:type="dcterms:W3CDTF">2020-10-31T10:32:00Z</dcterms:modified>
</cp:coreProperties>
</file>