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883" w:rsidRDefault="005001A1">
      <w:pPr>
        <w:spacing w:after="0"/>
        <w:jc w:val="center"/>
      </w:pPr>
      <w:bookmarkStart w:id="0" w:name="_Hlk39515184"/>
      <w:r>
        <w:rPr>
          <w:rFonts w:ascii="Times New Roman" w:eastAsia="Times New Roman" w:hAnsi="Times New Roman"/>
          <w:b/>
          <w:sz w:val="32"/>
          <w:szCs w:val="32"/>
          <w:lang w:eastAsia="it-IT"/>
        </w:rPr>
        <w:pict w14:anchorId="292511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3" o:spid="_x0000_s1026" type="#_x0000_t75" style="position:absolute;left:0;text-align:left;margin-left:0;margin-top:0;width:156.05pt;height:60pt;z-index:251659264;visibility:visible;mso-wrap-style:square;mso-position-horizontal:center;mso-position-horizontal-relative:margin;mso-position-vertical-relative:text">
            <v:imagedata r:id="rId7" o:title=""/>
            <w10:wrap type="topAndBottom" anchorx="margin"/>
          </v:shape>
          <o:OLEObject Type="Embed" ProgID="Word.Picture.8" ShapeID="Object 3" DrawAspect="Content" ObjectID="_1656155081" r:id="rId8"/>
        </w:pict>
      </w:r>
      <w:r>
        <w:rPr>
          <w:rFonts w:ascii="Times New Roman" w:eastAsia="Times New Roman" w:hAnsi="Times New Roman"/>
          <w:b/>
          <w:sz w:val="32"/>
          <w:szCs w:val="32"/>
          <w:lang w:eastAsia="it-IT"/>
        </w:rPr>
        <w:t xml:space="preserve"> TRIBUNALE ORDINARIO DI TEMPIO PAUSANIA</w:t>
      </w:r>
    </w:p>
    <w:p w:rsidR="00233883" w:rsidRDefault="005001A1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smallCaps/>
          <w:sz w:val="30"/>
          <w:szCs w:val="30"/>
          <w:lang w:eastAsia="it-IT"/>
        </w:rPr>
      </w:pPr>
      <w:r>
        <w:rPr>
          <w:rFonts w:ascii="Times New Roman" w:eastAsia="Times New Roman" w:hAnsi="Times New Roman"/>
          <w:b/>
          <w:smallCaps/>
          <w:sz w:val="30"/>
          <w:szCs w:val="30"/>
          <w:lang w:eastAsia="it-IT"/>
        </w:rPr>
        <w:t>Sezione Penale</w:t>
      </w:r>
    </w:p>
    <w:p w:rsidR="00233883" w:rsidRDefault="00233883">
      <w:pPr>
        <w:spacing w:after="0"/>
        <w:ind w:firstLine="142"/>
        <w:jc w:val="both"/>
        <w:rPr>
          <w:rFonts w:ascii="Times New Roman" w:eastAsia="Times New Roman" w:hAnsi="Times New Roman"/>
          <w:sz w:val="10"/>
          <w:szCs w:val="10"/>
          <w:lang w:eastAsia="it-IT"/>
        </w:rPr>
      </w:pPr>
    </w:p>
    <w:p w:rsidR="00233883" w:rsidRDefault="005001A1">
      <w:pPr>
        <w:spacing w:after="0"/>
        <w:ind w:firstLine="142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Viste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le misure relative all’organizzazione dell’attività giudiziaria per il periodo successivo al 30 giugno 2020, elaborate dal Presidente del Tribunale ordina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rio di Tempio Pausania, di cui costituisce parte integrante il “Protocollo per la trattazione degli affari civili e penali dal 1 luglio 2020”;</w:t>
      </w:r>
    </w:p>
    <w:p w:rsidR="00233883" w:rsidRDefault="005001A1">
      <w:pPr>
        <w:spacing w:after="0"/>
        <w:ind w:firstLine="142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>Considerata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la necessità di adottare modalità di organizzazione dell’udienza tali da contemperare il riavvio dell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’attività giudiziaria con l’esigenza di prevenire la diffusione del contagio da COVID-19.</w:t>
      </w:r>
    </w:p>
    <w:p w:rsidR="00233883" w:rsidRDefault="005001A1">
      <w:pPr>
        <w:spacing w:after="0"/>
        <w:ind w:firstLine="142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>Ritenuto,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pertanto, opportuno ridurre il numero di processi che possono essere celebrati in ogni singola udienza, rimodulando gli orari di chiamata degli stessi,</w:t>
      </w:r>
    </w:p>
    <w:p w:rsidR="00233883" w:rsidRDefault="00233883">
      <w:pPr>
        <w:spacing w:after="0"/>
        <w:ind w:firstLine="142"/>
        <w:jc w:val="both"/>
        <w:rPr>
          <w:rFonts w:ascii="Times New Roman" w:eastAsia="Times New Roman" w:hAnsi="Times New Roman"/>
          <w:sz w:val="2"/>
          <w:szCs w:val="2"/>
          <w:lang w:eastAsia="it-IT"/>
        </w:rPr>
      </w:pPr>
    </w:p>
    <w:p w:rsidR="00233883" w:rsidRDefault="005001A1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  <w:lang w:eastAsia="it-IT"/>
        </w:rPr>
      </w:pPr>
      <w:r>
        <w:rPr>
          <w:rFonts w:ascii="Times New Roman" w:eastAsia="Times New Roman" w:hAnsi="Times New Roman"/>
          <w:b/>
          <w:sz w:val="30"/>
          <w:szCs w:val="30"/>
          <w:lang w:eastAsia="it-IT"/>
        </w:rPr>
        <w:t>DISPONE</w:t>
      </w:r>
    </w:p>
    <w:p w:rsidR="00233883" w:rsidRDefault="005001A1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it-IT"/>
        </w:rPr>
        <w:t>che il prospetto di organizzazione dell’udienza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che la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dott.ssa Marcella Pinna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terrà il 14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luglio 2020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, e di seguito indicato, sia trasmesso al Pubblico Ministero, al Consiglio dell’Ordine degli Avvocati di Tempio Pausania e alla Camera Penale dell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a Gallura.</w:t>
      </w:r>
    </w:p>
    <w:p w:rsidR="00233883" w:rsidRDefault="005001A1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  <w:lang w:eastAsia="it-IT"/>
        </w:rPr>
      </w:pPr>
      <w:r>
        <w:rPr>
          <w:rFonts w:ascii="Times New Roman" w:eastAsia="Times New Roman" w:hAnsi="Times New Roman"/>
          <w:b/>
          <w:sz w:val="30"/>
          <w:szCs w:val="30"/>
          <w:lang w:eastAsia="it-IT"/>
        </w:rPr>
        <w:t>ONERA</w:t>
      </w:r>
    </w:p>
    <w:p w:rsidR="00233883" w:rsidRDefault="005001A1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  <w:lang w:eastAsia="it-IT"/>
        </w:rPr>
        <w:t>le Parti di citare, con urgenza,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it-IT"/>
        </w:rPr>
        <w:t>i testimoni, soltanto laddove sia espressamente prevista la loro escussione nell’elenco di seguito indicato.</w:t>
      </w:r>
    </w:p>
    <w:p w:rsidR="00233883" w:rsidRDefault="00233883">
      <w:pPr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233883" w:rsidRPr="00254E0F" w:rsidRDefault="005001A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254E0F">
        <w:rPr>
          <w:rFonts w:ascii="Times New Roman" w:eastAsia="Times New Roman" w:hAnsi="Times New Roman"/>
          <w:b/>
          <w:sz w:val="24"/>
          <w:szCs w:val="24"/>
          <w:lang w:eastAsia="it-IT"/>
        </w:rPr>
        <w:t>PROCEDIMENTI PER I QUALI E’PREVISTA LA TRATTAZIONE</w:t>
      </w:r>
    </w:p>
    <w:tbl>
      <w:tblPr>
        <w:tblW w:w="848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1559"/>
        <w:gridCol w:w="1701"/>
        <w:gridCol w:w="1985"/>
        <w:gridCol w:w="851"/>
        <w:gridCol w:w="1729"/>
      </w:tblGrid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3"/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bookmarkStart w:id="1" w:name="_Hlk40030611"/>
            <w:r>
              <w:rPr>
                <w:rFonts w:ascii="Times New Roman" w:hAnsi="Times New Roman"/>
                <w:b/>
                <w:sz w:val="23"/>
                <w:szCs w:val="23"/>
              </w:rPr>
              <w:t>N.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N.  R.G.N.R.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N.  R.G. DIB.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ATTIVITA’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orario</w:t>
            </w:r>
          </w:p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</w:rPr>
              <w:t>tratt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Difensore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3170/07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211/11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discussione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9.45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Avv. M.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Perticarà</w:t>
            </w:r>
            <w:proofErr w:type="spellEnd"/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731/14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458/19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udienza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 D. Putzolu – Avv. L. Montella per p.c.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3985/08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400/09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teste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 P. Milia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975/13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649/16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testi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10.30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 C. Puddu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2265/17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969/17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discussione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 R. M. Cocco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1420/18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296/18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discussione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 R. M. Cocco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2581/16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866/16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discussione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 R. M. Cocco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1397/18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281/18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discussione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10.45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 R. M. Cocco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2066/14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829/18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testi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11.30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Avv. Mani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Depperu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Tedde</w:t>
            </w:r>
            <w:proofErr w:type="spellEnd"/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1862/17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731/19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udienza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11.45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 G. Orecchioni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2608/15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441/17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MAP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 G. Cocco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2222/18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666/19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udienza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12.15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 Natale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1744/14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305/18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testi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 C. Fara e G. Manca Bitti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2608/16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160/19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udienza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12.45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Avv. R.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Onida</w:t>
            </w:r>
            <w:proofErr w:type="spellEnd"/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902/11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899/13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discussione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Avv.ti L. Tamponi – T. Masu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1981/19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399/19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patteggiamento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13.15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 Desini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3115/13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869/16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discussione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13.30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 G. Mura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755/17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219/20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udienza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13.45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 G. Di Giovine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1355/14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31/20</w:t>
            </w:r>
          </w:p>
        </w:tc>
        <w:tc>
          <w:tcPr>
            <w:tcW w:w="1985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discussione</w:t>
            </w:r>
          </w:p>
        </w:tc>
        <w:tc>
          <w:tcPr>
            <w:tcW w:w="85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172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54E0F" w:rsidRDefault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Avv. A. Pileri</w:t>
            </w:r>
          </w:p>
        </w:tc>
      </w:tr>
    </w:tbl>
    <w:bookmarkEnd w:id="1"/>
    <w:p w:rsidR="00233883" w:rsidRDefault="005001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.</w:t>
      </w:r>
    </w:p>
    <w:p w:rsidR="00233883" w:rsidRDefault="00233883">
      <w:pPr>
        <w:spacing w:after="0"/>
        <w:jc w:val="both"/>
        <w:rPr>
          <w:rFonts w:ascii="Times New Roman" w:eastAsia="Times New Roman" w:hAnsi="Times New Roman"/>
          <w:sz w:val="2"/>
          <w:szCs w:val="2"/>
          <w:lang w:eastAsia="it-IT"/>
        </w:rPr>
      </w:pPr>
    </w:p>
    <w:p w:rsidR="00233883" w:rsidRDefault="005001A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Tempio Pausania, 10.07.2020</w:t>
      </w:r>
    </w:p>
    <w:p w:rsidR="00233883" w:rsidRDefault="005001A1">
      <w:pPr>
        <w:spacing w:after="0"/>
        <w:jc w:val="both"/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 xml:space="preserve">  </w:t>
      </w:r>
      <w:r w:rsidR="00A26E37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     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IL GIUDICE </w:t>
      </w:r>
    </w:p>
    <w:p w:rsidR="00233883" w:rsidRDefault="005001A1">
      <w:pPr>
        <w:spacing w:after="0"/>
        <w:jc w:val="both"/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lang w:eastAsia="it-IT"/>
        </w:rPr>
        <w:t>Dott.ssa Marcella Pinna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ab/>
        <w:t xml:space="preserve">                                         </w:t>
      </w:r>
    </w:p>
    <w:p w:rsidR="00233883" w:rsidRDefault="0023388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bookmarkEnd w:id="0"/>
    <w:p w:rsidR="00233883" w:rsidRPr="00254E0F" w:rsidRDefault="005001A1" w:rsidP="00A26E3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254E0F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PROCEDIMENTI CHE SARANNO RINVIATI CON PROVVEDIMENTO IN UDIENZA</w:t>
      </w:r>
    </w:p>
    <w:tbl>
      <w:tblPr>
        <w:tblpPr w:leftFromText="141" w:rightFromText="141" w:vertAnchor="text" w:horzAnchor="margin" w:tblpXSpec="center" w:tblpY="50"/>
        <w:tblW w:w="70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1559"/>
        <w:gridCol w:w="1701"/>
        <w:gridCol w:w="3118"/>
      </w:tblGrid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N.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N.  R.G.N.R.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N.  R.G. DIB.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ORA 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3029/12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229/12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9.00 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1591/18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665/19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9.00 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2226/13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1126/16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9.00 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3451/14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264/19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9.00 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2767/12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313/16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9.00 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1157/11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114/15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A26E3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9.00 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3345/12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524/15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9.00 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612/17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656/19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ore 9.00 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1811/16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658/19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2569/18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673/19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412/16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669/19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3167/13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962/17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3855/17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229/20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1595/16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164/20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2565/15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319/19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5116/16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778/18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3008/09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742/18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1394/16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689/18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462/13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209/16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2284/12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413/17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968/15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819/18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177/15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204/18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2241/13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823/17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2859/16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235/19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505/16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509/19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986/18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634/19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1281714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683/18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2006/14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463/18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1437/15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214/18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734711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91/14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1699/12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991/15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1257/12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643/14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1833/17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485/17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2100/17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524/17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2247/13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131/17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1421/17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363/17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2265/17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969/17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1241/10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342/14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1356/15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722/18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3135/11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61/16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  <w:tr w:rsidR="00254E0F" w:rsidTr="00254E0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656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2969/14</w:t>
            </w:r>
          </w:p>
        </w:tc>
        <w:tc>
          <w:tcPr>
            <w:tcW w:w="1701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242/19</w:t>
            </w:r>
          </w:p>
        </w:tc>
        <w:tc>
          <w:tcPr>
            <w:tcW w:w="3118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4E0F" w:rsidRDefault="00254E0F" w:rsidP="00254E0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Ore 9.00</w:t>
            </w:r>
          </w:p>
        </w:tc>
      </w:tr>
    </w:tbl>
    <w:p w:rsidR="00233883" w:rsidRDefault="005001A1">
      <w:pPr>
        <w:jc w:val="both"/>
      </w:pPr>
      <w:r>
        <w:rPr>
          <w:rFonts w:ascii="Times New Roman" w:eastAsia="Times New Roman" w:hAnsi="Times New Roman"/>
          <w:sz w:val="30"/>
          <w:szCs w:val="30"/>
          <w:lang w:eastAsia="it-IT"/>
        </w:rPr>
        <w:tab/>
      </w:r>
      <w:r>
        <w:rPr>
          <w:rFonts w:ascii="Times New Roman" w:eastAsia="Times New Roman" w:hAnsi="Times New Roman"/>
          <w:sz w:val="30"/>
          <w:szCs w:val="30"/>
          <w:lang w:eastAsia="it-IT"/>
        </w:rPr>
        <w:tab/>
      </w:r>
      <w:r>
        <w:rPr>
          <w:rFonts w:ascii="Times New Roman" w:eastAsia="Times New Roman" w:hAnsi="Times New Roman"/>
          <w:sz w:val="30"/>
          <w:szCs w:val="30"/>
          <w:lang w:eastAsia="it-IT"/>
        </w:rPr>
        <w:tab/>
      </w:r>
      <w:r>
        <w:rPr>
          <w:rFonts w:ascii="Times New Roman" w:eastAsia="Times New Roman" w:hAnsi="Times New Roman"/>
          <w:sz w:val="30"/>
          <w:szCs w:val="30"/>
          <w:lang w:eastAsia="it-IT"/>
        </w:rPr>
        <w:tab/>
      </w:r>
      <w:r>
        <w:rPr>
          <w:rFonts w:ascii="Times New Roman" w:eastAsia="Times New Roman" w:hAnsi="Times New Roman"/>
          <w:sz w:val="30"/>
          <w:szCs w:val="30"/>
          <w:lang w:eastAsia="it-IT"/>
        </w:rPr>
        <w:tab/>
      </w:r>
      <w:r>
        <w:rPr>
          <w:rFonts w:ascii="Times New Roman" w:eastAsia="Times New Roman" w:hAnsi="Times New Roman"/>
          <w:sz w:val="30"/>
          <w:szCs w:val="30"/>
          <w:lang w:eastAsia="it-IT"/>
        </w:rPr>
        <w:tab/>
      </w:r>
    </w:p>
    <w:p w:rsidR="00233883" w:rsidRDefault="00233883">
      <w:pPr>
        <w:spacing w:after="0"/>
        <w:jc w:val="both"/>
        <w:rPr>
          <w:rFonts w:ascii="Times New Roman" w:eastAsia="Times New Roman" w:hAnsi="Times New Roman"/>
          <w:b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254E0F" w:rsidRDefault="00254E0F">
      <w:pPr>
        <w:rPr>
          <w:rFonts w:ascii="Times New Roman" w:eastAsia="Times New Roman" w:hAnsi="Times New Roman"/>
          <w:sz w:val="30"/>
          <w:szCs w:val="30"/>
          <w:lang w:eastAsia="it-IT"/>
        </w:rPr>
      </w:pPr>
    </w:p>
    <w:p w:rsidR="00A26E37" w:rsidRDefault="005001A1" w:rsidP="00A26E37">
      <w:pPr>
        <w:rPr>
          <w:rFonts w:ascii="Times New Roman" w:eastAsia="Times New Roman" w:hAnsi="Times New Roman"/>
          <w:sz w:val="24"/>
          <w:szCs w:val="24"/>
          <w:lang w:eastAsia="it-IT"/>
        </w:rPr>
      </w:pPr>
      <w:r w:rsidRPr="00A26E37">
        <w:rPr>
          <w:rFonts w:ascii="Times New Roman" w:eastAsia="Times New Roman" w:hAnsi="Times New Roman"/>
          <w:sz w:val="24"/>
          <w:szCs w:val="24"/>
          <w:lang w:eastAsia="it-IT"/>
        </w:rPr>
        <w:t>Tempio P., 10.07.2020</w:t>
      </w:r>
    </w:p>
    <w:p w:rsidR="00233883" w:rsidRPr="00A26E37" w:rsidRDefault="005001A1" w:rsidP="00A26E37">
      <w:pPr>
        <w:spacing w:after="0"/>
        <w:ind w:left="7788" w:firstLine="708"/>
        <w:rPr>
          <w:rFonts w:ascii="Times New Roman" w:eastAsia="Times New Roman" w:hAnsi="Times New Roman"/>
          <w:sz w:val="24"/>
          <w:szCs w:val="24"/>
          <w:lang w:eastAsia="it-IT"/>
        </w:rPr>
      </w:pPr>
      <w:r w:rsidRPr="00A26E37">
        <w:rPr>
          <w:rFonts w:ascii="Times New Roman" w:eastAsia="Times New Roman" w:hAnsi="Times New Roman"/>
          <w:sz w:val="24"/>
          <w:szCs w:val="24"/>
          <w:lang w:eastAsia="it-IT"/>
        </w:rPr>
        <w:t>Il Giudice</w:t>
      </w:r>
    </w:p>
    <w:p w:rsidR="00233883" w:rsidRPr="00A26E37" w:rsidRDefault="005001A1" w:rsidP="00A26E3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it-IT"/>
        </w:rPr>
      </w:pPr>
      <w:r w:rsidRPr="00A26E37">
        <w:rPr>
          <w:rFonts w:ascii="Times New Roman" w:eastAsia="Times New Roman" w:hAnsi="Times New Roman"/>
          <w:sz w:val="24"/>
          <w:szCs w:val="24"/>
          <w:lang w:eastAsia="it-IT"/>
        </w:rPr>
        <w:t>Dott.ssa Marcella Pinna</w:t>
      </w:r>
      <w:bookmarkStart w:id="2" w:name="_GoBack"/>
      <w:bookmarkEnd w:id="2"/>
    </w:p>
    <w:sectPr w:rsidR="00233883" w:rsidRPr="00A26E37">
      <w:footerReference w:type="default" r:id="rId9"/>
      <w:pgSz w:w="11906" w:h="16838"/>
      <w:pgMar w:top="567" w:right="851" w:bottom="709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1A1" w:rsidRDefault="005001A1">
      <w:pPr>
        <w:spacing w:after="0"/>
      </w:pPr>
      <w:r>
        <w:separator/>
      </w:r>
    </w:p>
  </w:endnote>
  <w:endnote w:type="continuationSeparator" w:id="0">
    <w:p w:rsidR="005001A1" w:rsidRDefault="005001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3FF" w:rsidRDefault="005001A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1A1" w:rsidRDefault="005001A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5001A1" w:rsidRDefault="005001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3883"/>
    <w:rsid w:val="00074C82"/>
    <w:rsid w:val="00233883"/>
    <w:rsid w:val="00254E0F"/>
    <w:rsid w:val="005001A1"/>
    <w:rsid w:val="00A2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odello%201%20-%20Copi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modello%201%20-%20Copia</Template>
  <TotalTime>12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Pinna</dc:creator>
  <cp:lastModifiedBy>Antonella Bulciolu</cp:lastModifiedBy>
  <cp:revision>3</cp:revision>
  <cp:lastPrinted>2020-07-08T07:21:00Z</cp:lastPrinted>
  <dcterms:created xsi:type="dcterms:W3CDTF">2020-07-13T12:07:00Z</dcterms:created>
  <dcterms:modified xsi:type="dcterms:W3CDTF">2020-07-13T12:18:00Z</dcterms:modified>
</cp:coreProperties>
</file>